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outlineLvl w:val="1"/>
        <w:rPr>
          <w:rFonts w:ascii="黑体" w:eastAsia="黑体"/>
          <w:sz w:val="36"/>
        </w:rPr>
      </w:pPr>
      <w:bookmarkStart w:id="0" w:name="Book31"/>
      <w:r>
        <w:rPr>
          <w:rFonts w:hint="eastAsia" w:ascii="黑体" w:eastAsia="黑体"/>
          <w:sz w:val="36"/>
        </w:rPr>
        <w:t>海南省南海现代渔业集团有限公司</w:t>
      </w:r>
    </w:p>
    <w:p>
      <w:pPr>
        <w:pStyle w:val="9"/>
        <w:spacing w:line="360" w:lineRule="auto"/>
        <w:jc w:val="center"/>
        <w:outlineLvl w:val="1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船厂车间利用改造项目选聘施工单位</w:t>
      </w:r>
    </w:p>
    <w:p>
      <w:pPr>
        <w:pStyle w:val="9"/>
        <w:spacing w:line="360" w:lineRule="auto"/>
        <w:jc w:val="center"/>
        <w:outlineLvl w:val="1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评选办法（综合评</w:t>
      </w:r>
      <w:r>
        <w:rPr>
          <w:rFonts w:hint="eastAsia" w:ascii="黑体" w:eastAsia="黑体"/>
          <w:sz w:val="36"/>
          <w:lang w:val="en-US" w:eastAsia="zh-CN"/>
        </w:rPr>
        <w:t>分</w:t>
      </w:r>
      <w:r>
        <w:rPr>
          <w:rFonts w:hint="eastAsia" w:ascii="黑体" w:eastAsia="黑体"/>
          <w:sz w:val="36"/>
        </w:rPr>
        <w:t>法）</w:t>
      </w:r>
      <w:bookmarkEnd w:id="0"/>
    </w:p>
    <w:p>
      <w:pPr>
        <w:pStyle w:val="9"/>
        <w:spacing w:line="360" w:lineRule="auto"/>
        <w:jc w:val="left"/>
        <w:outlineLvl w:val="2"/>
        <w:rPr>
          <w:rFonts w:ascii="宋体" w:hAnsi="宋体"/>
          <w:b/>
          <w:sz w:val="28"/>
        </w:rPr>
      </w:pPr>
    </w:p>
    <w:tbl>
      <w:tblPr>
        <w:tblStyle w:val="6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782"/>
        <w:gridCol w:w="2340"/>
        <w:gridCol w:w="651"/>
        <w:gridCol w:w="3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137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评分因素</w:t>
            </w:r>
          </w:p>
        </w:tc>
        <w:tc>
          <w:tcPr>
            <w:tcW w:w="38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分值</w:t>
            </w:r>
          </w:p>
        </w:tc>
        <w:tc>
          <w:tcPr>
            <w:tcW w:w="2346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439" w:type="pct"/>
            <w:vMerge w:val="restar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35分</w:t>
            </w:r>
          </w:p>
        </w:tc>
        <w:tc>
          <w:tcPr>
            <w:tcW w:w="1373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施工方案与技术措施</w:t>
            </w:r>
          </w:p>
        </w:tc>
        <w:tc>
          <w:tcPr>
            <w:tcW w:w="38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1</w:t>
            </w:r>
            <w:r>
              <w:rPr>
                <w:rFonts w:ascii="宋体" w:hAnsi="宋体" w:eastAsiaTheme="minorEastAsia" w:cstheme="minorBidi"/>
                <w:szCs w:val="21"/>
              </w:rPr>
              <w:t>5</w:t>
            </w:r>
            <w:r>
              <w:rPr>
                <w:rFonts w:hint="eastAsia" w:ascii="宋体" w:hAnsi="宋体" w:eastAsiaTheme="minorEastAsia" w:cstheme="minorBidi"/>
                <w:szCs w:val="21"/>
              </w:rPr>
              <w:t>分</w:t>
            </w:r>
          </w:p>
        </w:tc>
        <w:tc>
          <w:tcPr>
            <w:tcW w:w="2346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1、有施工技术方案、施工程序；技术方案详细、合理，针对性强，满足工程实际情况并能指导项目开展、施工部署全面的得1-1</w:t>
            </w:r>
            <w:r>
              <w:rPr>
                <w:rFonts w:ascii="宋体" w:hAnsi="宋体" w:eastAsiaTheme="minorEastAsia" w:cstheme="minorBidi"/>
                <w:szCs w:val="21"/>
              </w:rPr>
              <w:t>5</w:t>
            </w:r>
            <w:r>
              <w:rPr>
                <w:rFonts w:hint="eastAsia" w:ascii="宋体" w:hAnsi="宋体" w:eastAsiaTheme="minorEastAsia" w:cstheme="minorBidi"/>
                <w:szCs w:val="21"/>
              </w:rPr>
              <w:t>分；</w:t>
            </w:r>
            <w:r>
              <w:rPr>
                <w:rFonts w:hint="eastAsia" w:ascii="宋体" w:hAnsi="宋体" w:eastAsiaTheme="minorEastAsia" w:cstheme="minorBidi"/>
                <w:szCs w:val="21"/>
              </w:rPr>
              <w:br w:type="textWrapping"/>
            </w:r>
            <w:r>
              <w:rPr>
                <w:rFonts w:hint="eastAsia" w:ascii="宋体" w:hAnsi="宋体" w:eastAsiaTheme="minorEastAsia" w:cstheme="minorBidi"/>
                <w:szCs w:val="21"/>
              </w:rPr>
              <w:t>2、有施工技术方案、施工程序或施工大纲，且技术方案科学、基本合理，具有针对性的得1-9分；</w:t>
            </w:r>
            <w:r>
              <w:rPr>
                <w:rFonts w:hint="eastAsia" w:ascii="宋体" w:hAnsi="宋体" w:eastAsiaTheme="minorEastAsia" w:cstheme="minorBidi"/>
                <w:szCs w:val="21"/>
              </w:rPr>
              <w:br w:type="textWrapping"/>
            </w:r>
            <w:r>
              <w:rPr>
                <w:rFonts w:hint="eastAsia" w:ascii="宋体" w:hAnsi="宋体" w:eastAsiaTheme="minorEastAsia" w:cstheme="minorBidi"/>
                <w:szCs w:val="21"/>
              </w:rPr>
              <w:t>3、有施工技术方案、施工程序或施工大纲，但施工程序及施工大纲有明显错误的，技术方案不合理，无针对性的得0-5分。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" w:hRule="atLeast"/>
          <w:jc w:val="center"/>
        </w:trPr>
        <w:tc>
          <w:tcPr>
            <w:tcW w:w="439" w:type="pct"/>
            <w:vMerge w:val="continue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pct"/>
            <w:vMerge w:val="continue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质量管理体系与措施</w:t>
            </w:r>
          </w:p>
        </w:tc>
        <w:tc>
          <w:tcPr>
            <w:tcW w:w="38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10分</w:t>
            </w:r>
          </w:p>
        </w:tc>
        <w:tc>
          <w:tcPr>
            <w:tcW w:w="2346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1、具有质量保证体系，对工程质量保证措施阐述较好；有具体的质量违约责任承诺的得1-10分；</w:t>
            </w:r>
            <w:r>
              <w:rPr>
                <w:rFonts w:hint="eastAsia" w:ascii="宋体" w:hAnsi="宋体" w:eastAsiaTheme="minorEastAsia" w:cstheme="minorBidi"/>
                <w:szCs w:val="21"/>
              </w:rPr>
              <w:cr/>
            </w:r>
            <w:r>
              <w:rPr>
                <w:rFonts w:hint="eastAsia" w:ascii="宋体" w:hAnsi="宋体" w:eastAsiaTheme="minorEastAsia" w:cstheme="minorBidi"/>
                <w:szCs w:val="21"/>
              </w:rPr>
              <w:t>2、具有质量保证体系，质量保证措施可行性一般；有质量违约责任承诺的得1-7分；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3、质量承诺满足招标文件，有违约责任承诺，质量保证措施达不到要求；得0-4分。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439" w:type="pct"/>
            <w:vMerge w:val="continue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pct"/>
            <w:vMerge w:val="continue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安全生产、文明施工、环境保护管理及措施</w:t>
            </w:r>
          </w:p>
        </w:tc>
        <w:tc>
          <w:tcPr>
            <w:tcW w:w="38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5分</w:t>
            </w:r>
          </w:p>
        </w:tc>
        <w:tc>
          <w:tcPr>
            <w:tcW w:w="2346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1、有具体、完整、可行的安全生产、文明施工、环境保护措施，且措施切实可行，有具体的违约承诺的，得1-5分；</w:t>
            </w:r>
          </w:p>
          <w:p>
            <w:pPr>
              <w:pStyle w:val="9"/>
              <w:spacing w:line="360" w:lineRule="auto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2、安全生产、文明施工、环境保护措施不详细，措施可行性一般，违约承诺不具体的，得1-3分；</w:t>
            </w:r>
          </w:p>
          <w:p>
            <w:pPr>
              <w:pStyle w:val="9"/>
              <w:spacing w:line="360" w:lineRule="auto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3、安全生产、文明施工、环境保护措施存在错误，措施可行性较差，违约承诺不具体的，得0-1分。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  <w:jc w:val="center"/>
        </w:trPr>
        <w:tc>
          <w:tcPr>
            <w:tcW w:w="439" w:type="pct"/>
            <w:vMerge w:val="continue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pct"/>
            <w:vMerge w:val="continue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工期承诺及保证措施</w:t>
            </w:r>
          </w:p>
        </w:tc>
        <w:tc>
          <w:tcPr>
            <w:tcW w:w="38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5分</w:t>
            </w:r>
          </w:p>
        </w:tc>
        <w:tc>
          <w:tcPr>
            <w:tcW w:w="2346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1、施工进度计划满足招标文件、工程实际要求，具有可操作性，关键线路合理。工期承诺有具体的违约承诺的得1-5分；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2、施工进度计划满足招标文件，关键线路基本合理；有工期违约承诺的得1-3分；3、施工进度计划满足招标文件，关键线路不清晰，有违约承诺不具体的得0-1分。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" w:type="pct"/>
            <w:gridSpan w:val="2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1373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评分因素</w:t>
            </w:r>
          </w:p>
        </w:tc>
        <w:tc>
          <w:tcPr>
            <w:tcW w:w="38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分值</w:t>
            </w:r>
          </w:p>
        </w:tc>
        <w:tc>
          <w:tcPr>
            <w:tcW w:w="2346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2" w:hRule="atLeast"/>
          <w:jc w:val="center"/>
        </w:trPr>
        <w:tc>
          <w:tcPr>
            <w:tcW w:w="439" w:type="pct"/>
            <w:vMerge w:val="restar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标准20分</w:t>
            </w:r>
          </w:p>
        </w:tc>
        <w:tc>
          <w:tcPr>
            <w:tcW w:w="1373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单位综合实力</w:t>
            </w:r>
          </w:p>
        </w:tc>
        <w:tc>
          <w:tcPr>
            <w:tcW w:w="38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分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346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left"/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1、具有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  <w:t>钢结构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工程专业承包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  <w:t>叁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级及以上资质得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分；</w:t>
            </w:r>
          </w:p>
          <w:p>
            <w:pPr>
              <w:pStyle w:val="9"/>
              <w:spacing w:line="360" w:lineRule="auto"/>
              <w:jc w:val="left"/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2、具有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  <w:t>钢结构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工程专业承包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  <w:t>叁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级及以上资质且具有建筑工程施工总承包叁级及以上资质得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分；</w:t>
            </w:r>
          </w:p>
          <w:p>
            <w:pPr>
              <w:pStyle w:val="9"/>
              <w:spacing w:line="360" w:lineRule="auto"/>
              <w:jc w:val="left"/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3、具有合格、有效的安全生产许可证得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分。</w:t>
            </w:r>
          </w:p>
          <w:p>
            <w:pPr>
              <w:pStyle w:val="9"/>
              <w:spacing w:line="360" w:lineRule="auto"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439" w:type="pct"/>
            <w:vMerge w:val="continue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pct"/>
            <w:vMerge w:val="continue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投入本工程的主要管理人员、技术人员</w:t>
            </w:r>
          </w:p>
        </w:tc>
        <w:tc>
          <w:tcPr>
            <w:tcW w:w="38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宋体" w:hAnsi="宋体" w:eastAsiaTheme="minorEastAsia" w:cstheme="minorBidi"/>
                <w:szCs w:val="21"/>
              </w:rPr>
            </w:pPr>
          </w:p>
          <w:p>
            <w:pPr>
              <w:pStyle w:val="9"/>
              <w:spacing w:line="360" w:lineRule="auto"/>
              <w:jc w:val="center"/>
              <w:rPr>
                <w:rFonts w:hint="eastAsia" w:ascii="宋体" w:hAnsi="宋体" w:eastAsiaTheme="minorEastAsia" w:cstheme="minorBidi"/>
                <w:szCs w:val="21"/>
              </w:rPr>
            </w:pPr>
          </w:p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10分</w:t>
            </w:r>
          </w:p>
        </w:tc>
        <w:tc>
          <w:tcPr>
            <w:tcW w:w="2346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1、项目经理：具有建筑工程专业贰级及以上建造师证书得 3 分，具备有效安全生产考核合格证 B 证得 2 分，本项最高得 5 分；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2、技术负责人：具有工程类中级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  <w:t>及以上职称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得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分；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3、专职安全员：具有合格有效安全生产考核合格证C证得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分；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1373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评分因素</w:t>
            </w:r>
          </w:p>
        </w:tc>
        <w:tc>
          <w:tcPr>
            <w:tcW w:w="38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分值</w:t>
            </w:r>
          </w:p>
        </w:tc>
        <w:tc>
          <w:tcPr>
            <w:tcW w:w="2346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439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因素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标准10分</w:t>
            </w:r>
          </w:p>
        </w:tc>
        <w:tc>
          <w:tcPr>
            <w:tcW w:w="1373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企业类似项目业绩</w:t>
            </w:r>
          </w:p>
        </w:tc>
        <w:tc>
          <w:tcPr>
            <w:tcW w:w="38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10分</w:t>
            </w:r>
          </w:p>
        </w:tc>
        <w:tc>
          <w:tcPr>
            <w:tcW w:w="2346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1、投标人近5年（2016年1月至今）承接过2个类似工程项目业绩的得基准分5分；每增加一个业绩加2分，本项得分最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高10分。</w:t>
            </w:r>
          </w:p>
          <w:p>
            <w:pPr>
              <w:pStyle w:val="9"/>
              <w:spacing w:line="360" w:lineRule="auto"/>
              <w:rPr>
                <w:rFonts w:hint="eastAsia" w:ascii="宋体" w:hAnsi="宋体" w:eastAsiaTheme="minorEastAsia" w:cstheme="minorBidi"/>
                <w:b/>
                <w:bCs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2、类似工程项目是指：类似工程项目是指建筑工程或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  <w:lang w:val="en-US" w:eastAsia="zh-CN"/>
              </w:rPr>
              <w:t>建筑钢结构工程、装饰装修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auto"/>
                <w:szCs w:val="21"/>
              </w:rPr>
              <w:t>工程类项目，金额不低于本次招标项目招标限价，类似工程项目以中标通知书或施工合同为准，时间以中标通知书或施工合同书上注明的时间为准。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43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</w:t>
            </w:r>
          </w:p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标准35分</w:t>
            </w:r>
          </w:p>
        </w:tc>
        <w:tc>
          <w:tcPr>
            <w:tcW w:w="1373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价格分</w:t>
            </w:r>
          </w:p>
        </w:tc>
        <w:tc>
          <w:tcPr>
            <w:tcW w:w="382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35分</w:t>
            </w:r>
          </w:p>
        </w:tc>
        <w:tc>
          <w:tcPr>
            <w:tcW w:w="2346" w:type="pct"/>
            <w:shd w:val="clear" w:color="auto" w:fill="auto"/>
            <w:vAlign w:val="center"/>
          </w:tcPr>
          <w:p>
            <w:pPr>
              <w:pStyle w:val="9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满足采购文件要求且最低的投标报价为评标基准价，其价格分为满分。其他投标人的价格分统一按照下列公式计算：                                                           投标报价得分=（评标基准价/投标报价）×价格权值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eastAsia="仿宋_GB2312"/>
        <w:sz w:val="24"/>
      </w:rPr>
    </w:pPr>
    <w:r>
      <w:rPr>
        <w:rFonts w:ascii="Times New Roman" w:hAnsi="Times New Roman" w:eastAsia="仿宋_GB2312"/>
        <w:sz w:val="24"/>
      </w:rPr>
      <w:fldChar w:fldCharType="begin"/>
    </w:r>
    <w:r>
      <w:rPr>
        <w:rFonts w:ascii="Times New Roman" w:hAnsi="Times New Roman" w:eastAsia="仿宋_GB2312"/>
        <w:sz w:val="24"/>
      </w:rPr>
      <w:instrText xml:space="preserve"> PAGE  \* MERGEFORMAT </w:instrText>
    </w:r>
    <w:r>
      <w:rPr>
        <w:rFonts w:ascii="Times New Roman" w:hAnsi="Times New Roman" w:eastAsia="仿宋_GB2312"/>
        <w:sz w:val="24"/>
      </w:rPr>
      <w:fldChar w:fldCharType="separate"/>
    </w:r>
    <w:r>
      <w:t>3</w:t>
    </w:r>
    <w:r>
      <w:rPr>
        <w:rFonts w:ascii="Times New Roman" w:hAnsi="Times New Roman" w:eastAsia="仿宋_GB2312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51F4B"/>
    <w:rsid w:val="000C0758"/>
    <w:rsid w:val="002B6121"/>
    <w:rsid w:val="00310CC5"/>
    <w:rsid w:val="003269B4"/>
    <w:rsid w:val="00461780"/>
    <w:rsid w:val="005911F5"/>
    <w:rsid w:val="005E0675"/>
    <w:rsid w:val="00614A62"/>
    <w:rsid w:val="00726808"/>
    <w:rsid w:val="00797C71"/>
    <w:rsid w:val="008444B7"/>
    <w:rsid w:val="0097062E"/>
    <w:rsid w:val="009814AE"/>
    <w:rsid w:val="00995994"/>
    <w:rsid w:val="009F1D99"/>
    <w:rsid w:val="00E24285"/>
    <w:rsid w:val="00EC1C44"/>
    <w:rsid w:val="00F15759"/>
    <w:rsid w:val="00F83825"/>
    <w:rsid w:val="01560E27"/>
    <w:rsid w:val="0317394A"/>
    <w:rsid w:val="03942F1D"/>
    <w:rsid w:val="03C574A3"/>
    <w:rsid w:val="04672E1C"/>
    <w:rsid w:val="05134442"/>
    <w:rsid w:val="052231D6"/>
    <w:rsid w:val="05495B5C"/>
    <w:rsid w:val="05EC7948"/>
    <w:rsid w:val="07802EED"/>
    <w:rsid w:val="07934745"/>
    <w:rsid w:val="07D21C75"/>
    <w:rsid w:val="07FB6624"/>
    <w:rsid w:val="096811CB"/>
    <w:rsid w:val="0CC22F96"/>
    <w:rsid w:val="0CFA7F93"/>
    <w:rsid w:val="0D952B2D"/>
    <w:rsid w:val="0DF82775"/>
    <w:rsid w:val="0EA401D8"/>
    <w:rsid w:val="0F4C5290"/>
    <w:rsid w:val="0F4F3F24"/>
    <w:rsid w:val="0FEF6F08"/>
    <w:rsid w:val="106E1587"/>
    <w:rsid w:val="10B16C5F"/>
    <w:rsid w:val="11767D57"/>
    <w:rsid w:val="11B87F0F"/>
    <w:rsid w:val="12D805A4"/>
    <w:rsid w:val="12FE205C"/>
    <w:rsid w:val="13012EE3"/>
    <w:rsid w:val="141869DE"/>
    <w:rsid w:val="170759AF"/>
    <w:rsid w:val="17724DDD"/>
    <w:rsid w:val="1A3545DF"/>
    <w:rsid w:val="1C036D0F"/>
    <w:rsid w:val="1C392EF0"/>
    <w:rsid w:val="1D312296"/>
    <w:rsid w:val="1D4D0EF9"/>
    <w:rsid w:val="1D5F6B40"/>
    <w:rsid w:val="1E092AC5"/>
    <w:rsid w:val="20625D11"/>
    <w:rsid w:val="213068C7"/>
    <w:rsid w:val="21353492"/>
    <w:rsid w:val="23A6400C"/>
    <w:rsid w:val="263D16EC"/>
    <w:rsid w:val="28983E88"/>
    <w:rsid w:val="28A91B74"/>
    <w:rsid w:val="2B680B96"/>
    <w:rsid w:val="2C311DB6"/>
    <w:rsid w:val="30817B42"/>
    <w:rsid w:val="30B20ED8"/>
    <w:rsid w:val="319E57F1"/>
    <w:rsid w:val="32E96CF2"/>
    <w:rsid w:val="32F86594"/>
    <w:rsid w:val="34EB0478"/>
    <w:rsid w:val="34F46FA5"/>
    <w:rsid w:val="366B01A0"/>
    <w:rsid w:val="38626765"/>
    <w:rsid w:val="38B76D2D"/>
    <w:rsid w:val="39120726"/>
    <w:rsid w:val="393D3B31"/>
    <w:rsid w:val="3A352C48"/>
    <w:rsid w:val="3DCA4C89"/>
    <w:rsid w:val="3E7A0E13"/>
    <w:rsid w:val="3FBA625A"/>
    <w:rsid w:val="4024002E"/>
    <w:rsid w:val="405C340C"/>
    <w:rsid w:val="405C7670"/>
    <w:rsid w:val="40B51F4B"/>
    <w:rsid w:val="40C062B0"/>
    <w:rsid w:val="42D4036D"/>
    <w:rsid w:val="434C1BCD"/>
    <w:rsid w:val="45056392"/>
    <w:rsid w:val="453A6C11"/>
    <w:rsid w:val="46616B69"/>
    <w:rsid w:val="476C142E"/>
    <w:rsid w:val="477A36A0"/>
    <w:rsid w:val="47C71B40"/>
    <w:rsid w:val="48B01F88"/>
    <w:rsid w:val="4B320CE3"/>
    <w:rsid w:val="4CE75D44"/>
    <w:rsid w:val="4F50268B"/>
    <w:rsid w:val="504E26DE"/>
    <w:rsid w:val="50664AB4"/>
    <w:rsid w:val="512F1F95"/>
    <w:rsid w:val="52510506"/>
    <w:rsid w:val="52914ED1"/>
    <w:rsid w:val="52BA3749"/>
    <w:rsid w:val="55F310D9"/>
    <w:rsid w:val="56957996"/>
    <w:rsid w:val="58CB12A7"/>
    <w:rsid w:val="59662E6A"/>
    <w:rsid w:val="5A761829"/>
    <w:rsid w:val="5B162309"/>
    <w:rsid w:val="5CD10250"/>
    <w:rsid w:val="5CDE6B3C"/>
    <w:rsid w:val="5E651EA5"/>
    <w:rsid w:val="5E9A1FB8"/>
    <w:rsid w:val="5F2B1B6A"/>
    <w:rsid w:val="607A6307"/>
    <w:rsid w:val="607E75AB"/>
    <w:rsid w:val="60AE1FD4"/>
    <w:rsid w:val="60E4275C"/>
    <w:rsid w:val="61452DC9"/>
    <w:rsid w:val="62395FA1"/>
    <w:rsid w:val="62642400"/>
    <w:rsid w:val="62A0171C"/>
    <w:rsid w:val="64093136"/>
    <w:rsid w:val="657E0AB6"/>
    <w:rsid w:val="65985330"/>
    <w:rsid w:val="67701D68"/>
    <w:rsid w:val="67924F7C"/>
    <w:rsid w:val="68A1263D"/>
    <w:rsid w:val="6AFC3348"/>
    <w:rsid w:val="6C603069"/>
    <w:rsid w:val="6CDF4104"/>
    <w:rsid w:val="6DA96AA3"/>
    <w:rsid w:val="6DFC0E4D"/>
    <w:rsid w:val="71291A3A"/>
    <w:rsid w:val="7142527B"/>
    <w:rsid w:val="71FB3DF0"/>
    <w:rsid w:val="72055A38"/>
    <w:rsid w:val="73A34138"/>
    <w:rsid w:val="746D781C"/>
    <w:rsid w:val="7512639E"/>
    <w:rsid w:val="75F921C7"/>
    <w:rsid w:val="766F4B56"/>
    <w:rsid w:val="77502C78"/>
    <w:rsid w:val="78494945"/>
    <w:rsid w:val="785A6775"/>
    <w:rsid w:val="79550327"/>
    <w:rsid w:val="79BC0B8F"/>
    <w:rsid w:val="7A776190"/>
    <w:rsid w:val="7A7D37D5"/>
    <w:rsid w:val="7A9019F4"/>
    <w:rsid w:val="7C596E70"/>
    <w:rsid w:val="7D022452"/>
    <w:rsid w:val="7E6A2CE6"/>
    <w:rsid w:val="7EAC7530"/>
    <w:rsid w:val="7F3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color w:val="000000"/>
      <w:kern w:val="1"/>
      <w:sz w:val="44"/>
      <w:szCs w:val="44"/>
      <w:lang w:val="en-US" w:eastAsia="zh-CN" w:bidi="ar-SA"/>
    </w:rPr>
  </w:style>
  <w:style w:type="paragraph" w:styleId="4">
    <w:name w:val="heading 3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2"/>
    </w:pPr>
    <w:rPr>
      <w:rFonts w:ascii="Calibri" w:hAnsi="Calibri" w:eastAsia="宋体" w:cs="Times New Roman"/>
      <w:b/>
      <w:color w:val="000000"/>
      <w:kern w:val="1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1">
    <w:name w:val="TOC 标题1"/>
    <w:basedOn w:val="3"/>
    <w:next w:val="1"/>
    <w:qFormat/>
    <w:uiPriority w:val="0"/>
    <w:pPr>
      <w:spacing w:line="576" w:lineRule="auto"/>
      <w:outlineLvl w:val="9"/>
    </w:pPr>
    <w:rPr>
      <w:bCs/>
      <w:color w:val="auto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1262</Words>
  <Characters>1301</Characters>
  <Lines>10</Lines>
  <Paragraphs>2</Paragraphs>
  <TotalTime>1</TotalTime>
  <ScaleCrop>false</ScaleCrop>
  <LinksUpToDate>false</LinksUpToDate>
  <CharactersWithSpaces>1368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2021-09-27T00:09:00Z</dcterms:created>
  <dc:creator>方圆几里</dc:creator>
  <cp:lastModifiedBy>WPS_1528159097</cp:lastModifiedBy>
  <dcterms:modified xsi:type="dcterms:W3CDTF">2021-11-01T13:22:49Z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687673505ED240A8B08E672A83D0C0C1</vt:lpwstr>
  </property>
</Properties>
</file>