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宋体" w:hAnsi="宋体" w:cs="宋体"/>
          <w:b/>
          <w:color w:val="auto"/>
          <w:sz w:val="30"/>
          <w:szCs w:val="30"/>
          <w:lang w:eastAsia="zh-CN"/>
        </w:rPr>
      </w:pPr>
      <w:bookmarkStart w:id="0" w:name="_Toc24069"/>
      <w:bookmarkStart w:id="1" w:name="_Toc28682"/>
      <w:bookmarkStart w:id="2" w:name="_Toc17456"/>
      <w:bookmarkStart w:id="3" w:name="_Toc4148"/>
      <w:bookmarkStart w:id="4" w:name="_Toc11988"/>
      <w:bookmarkStart w:id="5" w:name="_Toc30592"/>
      <w:bookmarkStart w:id="6" w:name="_Toc417386194"/>
      <w:r>
        <w:rPr>
          <w:rFonts w:hint="eastAsia" w:ascii="宋体" w:hAnsi="宋体" w:cs="宋体"/>
          <w:b/>
          <w:color w:val="auto"/>
          <w:sz w:val="30"/>
          <w:szCs w:val="30"/>
          <w:lang w:eastAsia="zh-CN"/>
        </w:rPr>
        <w:t>海南省南海现代渔业集团有限公司</w:t>
      </w:r>
    </w:p>
    <w:p>
      <w:pPr>
        <w:jc w:val="center"/>
        <w:outlineLvl w:val="1"/>
        <w:rPr>
          <w:rFonts w:hint="eastAsia" w:ascii="宋体" w:hAnsi="宋体" w:cs="宋体"/>
          <w:b/>
          <w:color w:val="auto"/>
          <w:sz w:val="30"/>
          <w:szCs w:val="30"/>
        </w:rPr>
      </w:pPr>
      <w:r>
        <w:rPr>
          <w:rFonts w:hint="eastAsia" w:ascii="宋体" w:hAnsi="宋体" w:cs="宋体"/>
          <w:b/>
          <w:color w:val="auto"/>
          <w:sz w:val="30"/>
          <w:szCs w:val="30"/>
          <w:lang w:eastAsia="zh-CN"/>
        </w:rPr>
        <w:t>船厂改造工程选聘招标代理单位综合评分表</w:t>
      </w:r>
      <w:bookmarkEnd w:id="0"/>
      <w:bookmarkEnd w:id="1"/>
      <w:bookmarkEnd w:id="2"/>
      <w:bookmarkEnd w:id="3"/>
      <w:bookmarkEnd w:id="4"/>
      <w:bookmarkEnd w:id="5"/>
      <w:bookmarkEnd w:id="6"/>
    </w:p>
    <w:tbl>
      <w:tblPr>
        <w:tblStyle w:val="3"/>
        <w:tblpPr w:leftFromText="180" w:rightFromText="180" w:vertAnchor="text" w:horzAnchor="page" w:tblpX="1608" w:tblpY="172"/>
        <w:tblOverlap w:val="never"/>
        <w:tblW w:w="90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308"/>
        <w:gridCol w:w="5250"/>
        <w:gridCol w:w="769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1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308" w:type="dxa"/>
            <w:vAlign w:val="center"/>
          </w:tcPr>
          <w:p>
            <w:pPr>
              <w:snapToGrid w:val="0"/>
              <w:spacing w:line="300" w:lineRule="auto"/>
              <w:ind w:left="329" w:hanging="328" w:hangingChars="137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评审内容</w:t>
            </w:r>
          </w:p>
        </w:tc>
        <w:tc>
          <w:tcPr>
            <w:tcW w:w="525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评分标准</w:t>
            </w:r>
          </w:p>
        </w:tc>
        <w:tc>
          <w:tcPr>
            <w:tcW w:w="76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满分</w:t>
            </w:r>
          </w:p>
        </w:tc>
        <w:tc>
          <w:tcPr>
            <w:tcW w:w="97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投标人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2" w:hRule="atLeast"/>
        </w:trPr>
        <w:tc>
          <w:tcPr>
            <w:tcW w:w="71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bookmarkStart w:id="7" w:name="_Hlk458435901"/>
            <w:bookmarkStart w:id="8" w:name="_Hlk478545455"/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1</w:t>
            </w:r>
          </w:p>
        </w:tc>
        <w:tc>
          <w:tcPr>
            <w:tcW w:w="1308" w:type="dxa"/>
            <w:vAlign w:val="center"/>
          </w:tcPr>
          <w:p>
            <w:pPr>
              <w:pStyle w:val="5"/>
              <w:ind w:left="4"/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运营机构拟派项目管理人员</w:t>
            </w:r>
          </w:p>
        </w:tc>
        <w:tc>
          <w:tcPr>
            <w:tcW w:w="5250" w:type="dxa"/>
          </w:tcPr>
          <w:p>
            <w:pPr>
              <w:pStyle w:val="5"/>
              <w:spacing w:before="42" w:line="333" w:lineRule="auto"/>
              <w:ind w:right="34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1、项目负责人：具有水运工程相关专业技术职称，中级得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分，高级及以上得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分,其他不得分。本项满分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分。</w:t>
            </w:r>
          </w:p>
          <w:p>
            <w:pPr>
              <w:pStyle w:val="5"/>
              <w:spacing w:before="42" w:line="333" w:lineRule="auto"/>
              <w:ind w:right="34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 w:eastAsia="zh-CN"/>
              </w:rPr>
              <w:t>2、造价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default"/>
                <w:color w:val="auto"/>
                <w:sz w:val="24"/>
                <w:szCs w:val="24"/>
                <w:lang w:val="en-US" w:eastAsia="zh-CN"/>
              </w:rPr>
              <w:t>：具有造价工程师证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书</w:t>
            </w:r>
            <w:r>
              <w:rPr>
                <w:rFonts w:hint="default"/>
                <w:color w:val="auto"/>
                <w:sz w:val="24"/>
                <w:szCs w:val="24"/>
                <w:lang w:val="en-US" w:eastAsia="zh-CN"/>
              </w:rPr>
              <w:t>得5分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，其他不得分。</w:t>
            </w:r>
            <w:r>
              <w:rPr>
                <w:rFonts w:hint="default"/>
                <w:color w:val="auto"/>
                <w:sz w:val="24"/>
                <w:szCs w:val="24"/>
                <w:lang w:val="en-US" w:eastAsia="zh-CN"/>
              </w:rPr>
              <w:t>本项满分5分。</w:t>
            </w:r>
          </w:p>
          <w:p>
            <w:pPr>
              <w:pStyle w:val="5"/>
              <w:spacing w:before="42" w:line="333" w:lineRule="auto"/>
              <w:ind w:right="34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、其他配备人员：至少配备</w:t>
            </w:r>
            <w:r>
              <w:rPr>
                <w:rFonts w:hint="default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名具备水运工程相关专业职称人员，每名中级及以上得</w:t>
            </w:r>
            <w:r>
              <w:rPr>
                <w:rFonts w:hint="default"/>
                <w:color w:val="auto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分,其他不得分；且</w:t>
            </w:r>
            <w:r>
              <w:rPr>
                <w:rFonts w:hint="default"/>
                <w:color w:val="auto"/>
                <w:sz w:val="24"/>
                <w:szCs w:val="24"/>
                <w:lang w:val="en-US" w:eastAsia="zh-CN"/>
              </w:rPr>
              <w:t>至少配备1名具备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造价</w:t>
            </w:r>
            <w:r>
              <w:rPr>
                <w:rFonts w:hint="default"/>
                <w:color w:val="auto"/>
                <w:sz w:val="24"/>
                <w:szCs w:val="24"/>
                <w:lang w:val="en-US" w:eastAsia="zh-CN"/>
              </w:rPr>
              <w:t>相关专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业</w:t>
            </w:r>
            <w:r>
              <w:rPr>
                <w:rFonts w:hint="default"/>
                <w:color w:val="auto"/>
                <w:sz w:val="24"/>
                <w:szCs w:val="24"/>
                <w:lang w:val="en-US" w:eastAsia="zh-CN"/>
              </w:rPr>
              <w:t>人员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，每名得</w:t>
            </w:r>
            <w:r>
              <w:rPr>
                <w:rFonts w:hint="default"/>
                <w:color w:val="auto"/>
                <w:sz w:val="24"/>
                <w:szCs w:val="24"/>
                <w:lang w:val="en-US" w:eastAsia="zh-CN"/>
              </w:rPr>
              <w:t>2.5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分。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本项满分</w:t>
            </w:r>
            <w:r>
              <w:rPr>
                <w:rFonts w:hint="default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分。</w:t>
            </w:r>
          </w:p>
          <w:p>
            <w:pPr>
              <w:pStyle w:val="5"/>
              <w:spacing w:before="42" w:line="333" w:lineRule="auto"/>
              <w:ind w:right="34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证明材料：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提供职称证复印件、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202</w:t>
            </w:r>
            <w:r>
              <w:rPr>
                <w:rFonts w:hint="eastAsia" w:cs="宋体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年至今任意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一个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月社保证明复印件</w:t>
            </w:r>
            <w:r>
              <w:rPr>
                <w:rFonts w:hint="eastAsia" w:cs="宋体"/>
                <w:color w:val="auto"/>
                <w:sz w:val="24"/>
                <w:szCs w:val="24"/>
                <w:lang w:eastAsia="zh-CN"/>
              </w:rPr>
              <w:t>加盖公章。</w:t>
            </w:r>
          </w:p>
        </w:tc>
        <w:tc>
          <w:tcPr>
            <w:tcW w:w="76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bookmarkStart w:id="9" w:name="OLE_LINK3"/>
            <w:bookmarkStart w:id="10" w:name="OLE_LINK5"/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97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</w:trPr>
        <w:tc>
          <w:tcPr>
            <w:tcW w:w="71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</w:t>
            </w:r>
          </w:p>
        </w:tc>
        <w:tc>
          <w:tcPr>
            <w:tcW w:w="1308" w:type="dxa"/>
            <w:vAlign w:val="center"/>
          </w:tcPr>
          <w:p>
            <w:pPr>
              <w:pStyle w:val="5"/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企业业绩</w:t>
            </w:r>
          </w:p>
          <w:p>
            <w:pPr>
              <w:pStyle w:val="5"/>
              <w:jc w:val="center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5250" w:type="dxa"/>
            <w:vAlign w:val="center"/>
          </w:tcPr>
          <w:p>
            <w:pPr>
              <w:pStyle w:val="5"/>
              <w:spacing w:before="42" w:line="333" w:lineRule="auto"/>
              <w:ind w:right="34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/>
                <w:sz w:val="24"/>
                <w:szCs w:val="24"/>
              </w:rPr>
              <w:t>近年（201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年 1 月 1 日至递交申请文件截止时间止，代理业绩以签发中标通知书时间为准）内</w:t>
            </w:r>
            <w:r>
              <w:rPr>
                <w:rFonts w:hint="eastAsia"/>
                <w:sz w:val="24"/>
                <w:szCs w:val="24"/>
                <w:lang w:eastAsia="zh-CN"/>
              </w:rPr>
              <w:t>至少</w:t>
            </w:r>
            <w:r>
              <w:rPr>
                <w:rFonts w:hint="eastAsia"/>
                <w:sz w:val="24"/>
                <w:szCs w:val="24"/>
              </w:rPr>
              <w:t>完成过</w:t>
            </w:r>
            <w:bookmarkStart w:id="11" w:name="_GoBack"/>
            <w:bookmarkEnd w:id="11"/>
            <w:r>
              <w:rPr>
                <w:rFonts w:hint="eastAsia"/>
                <w:sz w:val="24"/>
                <w:szCs w:val="24"/>
              </w:rPr>
              <w:t>1个</w:t>
            </w:r>
            <w:r>
              <w:rPr>
                <w:rFonts w:hint="eastAsia"/>
                <w:sz w:val="24"/>
                <w:szCs w:val="24"/>
                <w:lang w:eastAsia="zh-CN"/>
              </w:rPr>
              <w:t>水运工程相关工程</w:t>
            </w:r>
            <w:r>
              <w:rPr>
                <w:rFonts w:hint="eastAsia"/>
                <w:sz w:val="24"/>
                <w:szCs w:val="24"/>
              </w:rPr>
              <w:t>施工招标代理业绩</w:t>
            </w:r>
            <w:r>
              <w:rPr>
                <w:rFonts w:hint="eastAsia"/>
                <w:sz w:val="24"/>
                <w:szCs w:val="24"/>
                <w:lang w:eastAsia="zh-CN"/>
              </w:rPr>
              <w:t>得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5分，每增加一个加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分，本项满分1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分。</w:t>
            </w:r>
          </w:p>
          <w:p>
            <w:pPr>
              <w:pStyle w:val="5"/>
              <w:spacing w:before="42" w:line="333" w:lineRule="auto"/>
              <w:ind w:right="34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sz w:val="24"/>
                <w:szCs w:val="24"/>
                <w:lang w:val="en-US" w:eastAsia="zh-CN"/>
              </w:rPr>
              <w:t>2、近年（2018年 1 月 1 日至递交申请文件截止时间止，造价业绩以成果文件时间为准）内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至少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完成过1个水运工程相关工程造价咨询服务业绩得5分，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每增加一个加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分，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本项满分10分。</w:t>
            </w:r>
          </w:p>
          <w:p>
            <w:pPr>
              <w:pStyle w:val="5"/>
              <w:spacing w:before="42" w:line="333" w:lineRule="auto"/>
              <w:ind w:right="34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default" w:eastAsia="宋体"/>
                <w:sz w:val="24"/>
                <w:szCs w:val="24"/>
                <w:lang w:val="en-US" w:eastAsia="zh-CN"/>
              </w:rPr>
              <w:t>证明材料：合同复印件及成果文件复印件加盖公章。</w:t>
            </w:r>
          </w:p>
          <w:p>
            <w:pPr>
              <w:pStyle w:val="5"/>
              <w:spacing w:before="42" w:line="333" w:lineRule="auto"/>
              <w:ind w:right="34"/>
              <w:rPr>
                <w:rFonts w:hint="eastAsia"/>
                <w:color w:val="auto"/>
                <w:sz w:val="24"/>
                <w:szCs w:val="24"/>
                <w:lang w:val="zh-CN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证明材料：须提供中标通知书复印件加盖公章，时间以合同签订时间为准。</w:t>
            </w:r>
          </w:p>
        </w:tc>
        <w:tc>
          <w:tcPr>
            <w:tcW w:w="76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97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1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3</w:t>
            </w:r>
          </w:p>
        </w:tc>
        <w:tc>
          <w:tcPr>
            <w:tcW w:w="1308" w:type="dxa"/>
            <w:vAlign w:val="center"/>
          </w:tcPr>
          <w:p>
            <w:pPr>
              <w:pStyle w:val="5"/>
              <w:spacing w:before="42" w:line="333" w:lineRule="auto"/>
              <w:ind w:right="34"/>
              <w:jc w:val="center"/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企业信誉</w:t>
            </w:r>
          </w:p>
        </w:tc>
        <w:tc>
          <w:tcPr>
            <w:tcW w:w="5250" w:type="dxa"/>
            <w:vAlign w:val="center"/>
          </w:tcPr>
          <w:p>
            <w:pPr>
              <w:pStyle w:val="5"/>
              <w:spacing w:before="42" w:line="333" w:lineRule="auto"/>
              <w:ind w:right="34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  <w:t>投标人</w:t>
            </w: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同时</w:t>
            </w:r>
            <w:r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  <w:t>具有1S09001质量管理体系认证、环境管理认证证书、职业健康安全管理体系认证证书得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  <w:t>分</w:t>
            </w:r>
            <w: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  <w:t>。</w:t>
            </w:r>
          </w:p>
          <w:p>
            <w:pPr>
              <w:pStyle w:val="5"/>
              <w:spacing w:before="42" w:line="333" w:lineRule="auto"/>
              <w:ind w:right="34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  <w:t>证明材料：须提供认证证书复印件加盖公章。</w:t>
            </w:r>
          </w:p>
        </w:tc>
        <w:tc>
          <w:tcPr>
            <w:tcW w:w="76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7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1308" w:type="dxa"/>
            <w:vAlign w:val="center"/>
          </w:tcPr>
          <w:p>
            <w:pPr>
              <w:pStyle w:val="5"/>
              <w:spacing w:before="161"/>
              <w:ind w:left="4"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服务方案</w:t>
            </w:r>
          </w:p>
        </w:tc>
        <w:tc>
          <w:tcPr>
            <w:tcW w:w="5250" w:type="dxa"/>
            <w:vAlign w:val="center"/>
          </w:tcPr>
          <w:p>
            <w:pPr>
              <w:pStyle w:val="5"/>
              <w:spacing w:before="42" w:line="333" w:lineRule="auto"/>
              <w:ind w:right="34" w:rightChars="0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根据招标项目的特点、关键问题及其对策措施，制定合理的招标方案：基本合格得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分，良好得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11-15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分，优秀得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16-20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分</w:t>
            </w:r>
            <w:r>
              <w:rPr>
                <w:rFonts w:hint="eastAsia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，不提供不得分。</w:t>
            </w:r>
          </w:p>
        </w:tc>
        <w:tc>
          <w:tcPr>
            <w:tcW w:w="76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97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1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08" w:type="dxa"/>
            <w:vAlign w:val="center"/>
          </w:tcPr>
          <w:p>
            <w:pPr>
              <w:pStyle w:val="5"/>
              <w:spacing w:before="161"/>
              <w:ind w:left="4" w:leftChars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</w:rPr>
              <w:t>报价得分</w:t>
            </w:r>
          </w:p>
        </w:tc>
        <w:tc>
          <w:tcPr>
            <w:tcW w:w="5250" w:type="dxa"/>
            <w:vAlign w:val="center"/>
          </w:tcPr>
          <w:p>
            <w:pPr>
              <w:pStyle w:val="5"/>
              <w:spacing w:before="42" w:line="333" w:lineRule="auto"/>
              <w:ind w:right="34"/>
              <w:rPr>
                <w:rFonts w:hint="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采用最低价优先法计算，即满足招标文件要求且投标价格的最低价为评标基准价，价格分统一按照下列公式计算：</w:t>
            </w:r>
          </w:p>
          <w:p>
            <w:pPr>
              <w:pStyle w:val="5"/>
              <w:spacing w:before="42" w:line="333" w:lineRule="auto"/>
              <w:ind w:right="34" w:rightChars="0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lang w:eastAsia="zh-CN"/>
              </w:rPr>
              <w:t>投标报价得分=(评标基准价／投标报价)×价格权值×100</w:t>
            </w:r>
          </w:p>
        </w:tc>
        <w:tc>
          <w:tcPr>
            <w:tcW w:w="76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97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BD7FBA"/>
    <w:rsid w:val="768343F3"/>
    <w:rsid w:val="7752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qFormat/>
    <w:uiPriority w:val="0"/>
  </w:style>
  <w:style w:type="table" w:default="1" w:styleId="3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</w:style>
  <w:style w:type="paragraph" w:customStyle="1" w:styleId="5">
    <w:name w:val="Table Paragraph"/>
    <w:basedOn w:val="1"/>
    <w:qFormat/>
    <w:uiPriority w:val="1"/>
    <w:pPr>
      <w:jc w:val="left"/>
    </w:pPr>
    <w:rPr>
      <w:rFonts w:ascii="宋体" w:hAnsi="宋体" w:cs="宋体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704</Words>
  <Characters>744</Characters>
  <Paragraphs>48</Paragraphs>
  <TotalTime>3</TotalTime>
  <ScaleCrop>false</ScaleCrop>
  <LinksUpToDate>false</LinksUpToDate>
  <CharactersWithSpaces>757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2021-07-27T07:24:00Z</dcterms:created>
  <dc:creator>Administrator</dc:creator>
  <cp:lastModifiedBy>Administrator</cp:lastModifiedBy>
  <dcterms:modified xsi:type="dcterms:W3CDTF">2021-12-13T03:45:36Z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F26BEAFF2E1C46AAA1575A43F45E1CE5</vt:lpwstr>
  </property>
</Properties>
</file>